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926CC" w:rsidRPr="004B174D" w:rsidRDefault="00393D12" w:rsidP="003926CC">
      <w:pPr>
        <w:spacing w:after="480"/>
        <w:jc w:val="center"/>
        <w:rPr>
          <w:b/>
          <w:bCs/>
          <w:sz w:val="40"/>
          <w:szCs w:val="40"/>
        </w:rPr>
      </w:pPr>
      <w:bookmarkStart w:id="0" w:name="_GoBack"/>
      <w:bookmarkEnd w:id="0"/>
      <w:r w:rsidRPr="00393D12">
        <w:rPr>
          <w:b/>
          <w:sz w:val="40"/>
          <w:szCs w:val="40"/>
        </w:rPr>
        <w:t>USNESENÍ</w:t>
      </w:r>
      <w:r w:rsidR="00F11093">
        <w:rPr>
          <w:b/>
          <w:bCs/>
          <w:sz w:val="40"/>
          <w:szCs w:val="40"/>
        </w:rPr>
        <w:br/>
      </w:r>
      <w:r w:rsidR="00F11093" w:rsidRPr="00F11093">
        <w:rPr>
          <w:bCs/>
          <w:sz w:val="20"/>
        </w:rPr>
        <w:t>(anonymizovaný opis)</w:t>
      </w:r>
    </w:p>
    <w:p w:rsidR="00D821FE" w:rsidRDefault="00D821FE" w:rsidP="008A5F33"/>
    <w:p w:rsidR="004A5914" w:rsidRPr="008A5F33" w:rsidRDefault="008A5F33" w:rsidP="008A5F33">
      <w:r w:rsidRPr="008A5F33">
        <w:t xml:space="preserve">Krajský soud v Plzni rozhodl v neveřejném zasedání konaném dne 8. 9. 2021 v trestní věci odsouzené </w:t>
      </w:r>
      <w:r>
        <w:t>[</w:t>
      </w:r>
      <w:r w:rsidRPr="008A5F33">
        <w:rPr>
          <w:shd w:val="clear" w:color="auto" w:fill="CCCCCC"/>
        </w:rPr>
        <w:t>údaje o účastníkovi</w:t>
      </w:r>
      <w:r w:rsidRPr="008A5F33">
        <w:t>]</w:t>
      </w:r>
    </w:p>
    <w:p w:rsidR="00F11093" w:rsidRDefault="00F11093" w:rsidP="008A0B5D">
      <w:pPr>
        <w:pStyle w:val="Nadpisstirozsudku"/>
      </w:pPr>
      <w:r w:rsidRPr="00F11093">
        <w:t>takto</w:t>
      </w:r>
      <w:r>
        <w:t>:</w:t>
      </w:r>
    </w:p>
    <w:p w:rsidR="008A0B5D" w:rsidRPr="008A5F33" w:rsidRDefault="008A5F33" w:rsidP="00D821FE">
      <w:r w:rsidRPr="008A5F33">
        <w:t xml:space="preserve">Ke stížnosti odsouzené </w:t>
      </w:r>
      <w:r>
        <w:t>[</w:t>
      </w:r>
      <w:r w:rsidRPr="008A5F33">
        <w:rPr>
          <w:shd w:val="clear" w:color="auto" w:fill="CCCCCC"/>
        </w:rPr>
        <w:t>jméno</w:t>
      </w:r>
      <w:r w:rsidRPr="008A5F33">
        <w:t xml:space="preserve">] </w:t>
      </w:r>
      <w:r>
        <w:t>[</w:t>
      </w:r>
      <w:r w:rsidRPr="008A5F33">
        <w:rPr>
          <w:shd w:val="clear" w:color="auto" w:fill="CCCCCC"/>
        </w:rPr>
        <w:t>příjmení</w:t>
      </w:r>
      <w:r w:rsidRPr="008A5F33">
        <w:t>] se podle § 149 odst. 1 písm. b) trestního řádu ruší usnesení Okresního soudu Plzeň-sever ze dne 26. 7. 2021, č. j. 22 T 10/2020-476 a okresnímu soudu se ukládá, aby o věci znovu jednal a rozhodl.</w:t>
      </w:r>
    </w:p>
    <w:p w:rsidR="008A0B5D" w:rsidRDefault="008A0B5D" w:rsidP="008A0B5D">
      <w:pPr>
        <w:pStyle w:val="Nadpisstirozsudku"/>
      </w:pPr>
      <w:r>
        <w:t>Odůvodnění:</w:t>
      </w:r>
    </w:p>
    <w:p w:rsidR="00D821FE" w:rsidRDefault="00D821FE" w:rsidP="008A0B5D">
      <w:pPr>
        <w:pStyle w:val="Nadpisstirozsudku"/>
      </w:pPr>
    </w:p>
    <w:p w:rsidR="008A5F33" w:rsidRDefault="008A5F33" w:rsidP="008A5F33">
      <w:r w:rsidRPr="008A5F33">
        <w:t xml:space="preserve">1. Napadeným usnesením Okresního soudu Plzeň-sever bylo pod bodem I. výroku rozhodnuto tak, že podle § 154 odst. 1 trestního řádu je odsouzená </w:t>
      </w:r>
      <w:r>
        <w:t>[</w:t>
      </w:r>
      <w:r w:rsidRPr="008A5F33">
        <w:rPr>
          <w:shd w:val="clear" w:color="auto" w:fill="CCCCCC"/>
        </w:rPr>
        <w:t>jméno</w:t>
      </w:r>
      <w:r w:rsidRPr="008A5F33">
        <w:t xml:space="preserve">] </w:t>
      </w:r>
      <w:r>
        <w:t>[</w:t>
      </w:r>
      <w:r w:rsidRPr="008A5F33">
        <w:rPr>
          <w:shd w:val="clear" w:color="auto" w:fill="CCCCCC"/>
        </w:rPr>
        <w:t>příjmení</w:t>
      </w:r>
      <w:r w:rsidRPr="008A5F33">
        <w:t xml:space="preserve">] povinna zaplatit poškozené </w:t>
      </w:r>
      <w:r>
        <w:t>[</w:t>
      </w:r>
      <w:r w:rsidRPr="008A5F33">
        <w:rPr>
          <w:shd w:val="clear" w:color="auto" w:fill="CCCCCC"/>
        </w:rPr>
        <w:t>jméno</w:t>
      </w:r>
      <w:r w:rsidRPr="008A5F33">
        <w:t xml:space="preserve">] </w:t>
      </w:r>
      <w:r>
        <w:t>[</w:t>
      </w:r>
      <w:r w:rsidRPr="008A5F33">
        <w:rPr>
          <w:shd w:val="clear" w:color="auto" w:fill="CCCCCC"/>
        </w:rPr>
        <w:t>příjmení</w:t>
      </w:r>
      <w:r w:rsidRPr="008A5F33">
        <w:t xml:space="preserve">] jako náhradu nákladů vzniklých jí v souvislosti s přibráním zmocněnce k rukám zmocněnce poškozené Mgr. Jiřího Mauritze, MBA, advokáta se sídlem Edvarda Beneše 56, Plzeň, částku ve výši 109 964,80 Kč. Pod bodem II. výroku napadeného usnesení bylo rozhodnuto tak, že se žádost poškozené </w:t>
      </w:r>
      <w:r>
        <w:t>[</w:t>
      </w:r>
      <w:r w:rsidRPr="008A5F33">
        <w:rPr>
          <w:shd w:val="clear" w:color="auto" w:fill="CCCCCC"/>
        </w:rPr>
        <w:t>jméno</w:t>
      </w:r>
      <w:r w:rsidRPr="008A5F33">
        <w:t xml:space="preserve">] </w:t>
      </w:r>
      <w:r>
        <w:t>[</w:t>
      </w:r>
      <w:r w:rsidRPr="008A5F33">
        <w:rPr>
          <w:shd w:val="clear" w:color="auto" w:fill="CCCCCC"/>
        </w:rPr>
        <w:t>příjmení</w:t>
      </w:r>
      <w:r w:rsidRPr="008A5F33">
        <w:t>] o přiznání nároku na náhradu nákladů vzniklých jí v souvislosti s přibráním zmocněnce pro částku 13 745,60 Kč zamítá.</w:t>
      </w:r>
    </w:p>
    <w:p w:rsidR="008A5F33" w:rsidRDefault="008A5F33" w:rsidP="008A5F33">
      <w:r w:rsidRPr="008A5F33">
        <w:t>2. Odsouzená proti napadenému usnesení brojila včasně podanou stížností, kterou odůvodnila. Uvedla, že všechny vyúčtované náklady (včetně právního zastoupení) měly již být likvidovány pojišťovnou Generali Česká pojišťovna, a. s. Odsouzená má tak napadené usnesení za bezdůvodné, neboť úhrada již byla provedena. Pokud jde o otázku další škody, byla poškozená rozsudkem Okresního soudu Plzeň-sever ze dne 18. 5. 2020, č. j. 22 T 10/2020-395, který nabyl právní moci dne 23. 7. 2020, podle § 229 odst. 2 trestního řádu se zbytkem svého nároku odkázána na řízení ve věcech občanskoprávních s tím, že citovaná pojišťovna do předmětného občanskoprávního řízení vstupuje jako vedlejší účastník. Závěrem navrhla zrušení napadeného usnesení.</w:t>
      </w:r>
    </w:p>
    <w:p w:rsidR="008A5F33" w:rsidRDefault="008A5F33" w:rsidP="008A5F33">
      <w:r w:rsidRPr="008A5F33">
        <w:t>3. Krajský soud v Plzni jako soud nadřízený Okresnímu soudu Plzeň-sever přezkoumal v souladu s § 147 odst. 1 trestního řádu správnost výroku napadeného usnesení i řízení předcházející jeho vydání. Dospěl k následujícím závěrům.</w:t>
      </w:r>
    </w:p>
    <w:p w:rsidR="008A5F33" w:rsidRDefault="008A5F33" w:rsidP="008A5F33">
      <w:r w:rsidRPr="008A5F33">
        <w:t xml:space="preserve">4. Rozsudkem Okresního soudu Plzeň-sever ze dne 18. 5. 2020, č. j. 22 T 10/2020-395, který nabyl právní moci dne 23. 7. 2020, byla odsouzená uznána vinnou přečinem těžkého ublížení na zdraví z nedbalosti podle § 147 odst. 1, 2 trestního zákoníku, za který jí byl uložen trest odnětí svobody v trvání 10 měsíců, jehož výkon byl podmíněně odložen na zkušební dobu v trvání 20 měsíců. Dále jí byla podle § 228 odst. 1 trestního řádu uložena povinnost uhradit mimo jiné poškozené </w:t>
      </w:r>
      <w:r>
        <w:t>[</w:t>
      </w:r>
      <w:r w:rsidRPr="008A5F33">
        <w:rPr>
          <w:shd w:val="clear" w:color="auto" w:fill="CCCCCC"/>
        </w:rPr>
        <w:t>jméno</w:t>
      </w:r>
      <w:r w:rsidRPr="008A5F33">
        <w:t xml:space="preserve">] </w:t>
      </w:r>
      <w:r>
        <w:t>[</w:t>
      </w:r>
      <w:r w:rsidRPr="008A5F33">
        <w:rPr>
          <w:shd w:val="clear" w:color="auto" w:fill="CCCCCC"/>
        </w:rPr>
        <w:t>příjmení</w:t>
      </w:r>
      <w:r w:rsidRPr="008A5F33">
        <w:t>] škodu ve výši 689 939,56 Kč. Věc tak pravomocně skončila. Následně dne 20. 8. 2020 poškozená prostřednictvím svého zmocněnce uplatnila nárok k úhradě nákladů potřebných k účelnému uplatnění nároku na náhradu škody, když tak podle § 155 odst. 4 trestního řádu mohla učinit nejdéle do jednoho roku od právní moci odsuzujícího rozsudku. Tato lhůta tak byla v posuzované věci zachována.</w:t>
      </w:r>
    </w:p>
    <w:p w:rsidR="00D821FE" w:rsidRDefault="00D821FE" w:rsidP="008A5F33"/>
    <w:p w:rsidR="008A5F33" w:rsidRDefault="008A5F33" w:rsidP="008A5F33">
      <w:r w:rsidRPr="008A5F33">
        <w:lastRenderedPageBreak/>
        <w:t>5. Vada, která zapříčinila zrušení napadeného usnesení, spočívá jednak v nesprávné formulaci celé výrokové části napadeného usnesení, jednak v nesprávně stanovené výši nákladů poškozené potřebných k účelnému uplatnění nároku na náhradu škody, jednak v nedostatečném odůvodnění napadeného usnesení.</w:t>
      </w:r>
    </w:p>
    <w:p w:rsidR="008A5F33" w:rsidRDefault="008A5F33" w:rsidP="008A5F33">
      <w:r w:rsidRPr="008A5F33">
        <w:t xml:space="preserve">6. Pokud jde o výrok pod bodem I. napadeného usnesení, je předně nutno konstatovat, že okresní soud v něm (stejně jako v hlavičce napadeného usnesení) uvedl nesprávné datum narození odsouzené. Tato se totiž narodila dne </w:t>
      </w:r>
      <w:r>
        <w:t>[</w:t>
      </w:r>
      <w:r w:rsidRPr="008A5F33">
        <w:rPr>
          <w:shd w:val="clear" w:color="auto" w:fill="CCCCCC"/>
        </w:rPr>
        <w:t>datum</w:t>
      </w:r>
      <w:r w:rsidRPr="008A5F33">
        <w:t xml:space="preserve">] a nikoli dne </w:t>
      </w:r>
      <w:r>
        <w:t>[</w:t>
      </w:r>
      <w:r w:rsidRPr="008A5F33">
        <w:rPr>
          <w:shd w:val="clear" w:color="auto" w:fill="CCCCCC"/>
        </w:rPr>
        <w:t>datum</w:t>
      </w:r>
      <w:r w:rsidRPr="008A5F33">
        <w:t>], jak uvedl okresní soud. To je však zásadní vada, kterou je nutné napravit, neboť správná identifikace dotčených osob je v soudních rozhodnutích zcela nezbytná. Má totiž přímý vliv zejména na vykonatelnost daného rozhodnutí.</w:t>
      </w:r>
    </w:p>
    <w:p w:rsidR="008A5F33" w:rsidRDefault="008A5F33" w:rsidP="008A5F33">
      <w:r w:rsidRPr="008A5F33">
        <w:t>7. Vadu krajský soud dále shledal ve výrocích pod body I. a II. napadeného usnesení i v odkazu na zákonná ustanovení, podle kterých je v projednávané věci rozhodováno. Soud totiž o účelně vynaložených nákladech poškozeného nerozhoduje pouze podle § 154 odst. 1 trestního řádu, jak uvedl okresní soud, ale i podle § 155 odst. 4 trestního řádu. V § 155 odst. 6 trestního řádu je totiž uvedeno, že proti rozhodnutím podle odstavce 1 až 5 je přípustná stížnost, jež má odkladný účinek. Z toho je zřejmé, že soud v daném případě rozhoduje podle § 155 odst. 4 trestního řádu s tím, že zákonné podmínky pro takové rozhodnutí jsou upraveny v § 154 odst. 1 trestního řádu. Správně tak mělo být rozhodováno podle § 155 odst. 4 trestního řádu ve spojení s § 154 odst. 1 trestního řádu, a to jak ve výroku pod bodem I. napadeného usnesení, tak ve výroku pod jeho bodem II., kde odkaz na příslušná zákonná ustanovení navíc zcela chybí.</w:t>
      </w:r>
    </w:p>
    <w:p w:rsidR="008A5F33" w:rsidRDefault="008A5F33" w:rsidP="008A5F33">
      <w:r w:rsidRPr="008A5F33">
        <w:t>8. Ani formulace výroku pod body I. a II. napadeného usnesení nemůže obstát. Tato totiž věrně nekopíruje znění § 155 odst. 4 trestního řádu a § 154 odst. 1 trestního řádu. V obecné rovině je totiž nutno trvat na tom, aby při formulaci výroku konkrétního rozhodnutí soud vždy dodržel znění zákonného ustanovení, podle kterého rozhoduje. Pokud jde o výrok pod bodem I. napadeného usnesení, tak odsouzená není povinna zaplatit poškozené určitou peněžní částku jako náhradu nákladů vzniklých jí v souvislosti s přibráním zmocněnce. Správně je totiž povinna poškozené nahradit náklady potřebné k účelnému uplatnění nároku na náhradu škody v konkrétní částce. Tyto náklady navíc nemusí nutně představovat pouze odměna zmocněnce, jak je v podstatě uvedeno ve výroku napadeného usnesení. Může jít i o další nutně vynaložené náklady jako jsou náklady na obstarání listin prokazující nárok poškozeného nebo náklady spojené s výkonem práv poškozeného, a to zejména cestovní náklady nebo ušlý výdělek atd. Tyto pak není třeba ve výroku příslušného rozhodnutí jakkoli blíže specifikovat. Stačí, pokud k jejich specifikaci dojde v odůvodnění příslušného rozhodnutí. V žádném případě pak nelze odsouzené uložit, aby svou povinnost nahradit předmětné náklady poškozené splnila k rukám jejího zmocněnce. Takový postup totiž nemá oporu v žádném z předmětných zákonných ustanovení. Naopak by byla odsouzená povinna náklady poškozené nahradit k jejím rukám. Další postup ohledně této částky je pak interní záležitostí její a jejího zmocněnce.</w:t>
      </w:r>
    </w:p>
    <w:p w:rsidR="008A5F33" w:rsidRDefault="008A5F33" w:rsidP="008A5F33">
      <w:r w:rsidRPr="008A5F33">
        <w:t>9. Pokud pak jde o formulaci výroku pod bodem II. napadeného usnesení, tak soud nemůže zamítnout„ žádost poškozené o přiznání nároku na náhradu nákladů vzniklých jí v souvislosti s přibráním zmocněnce“, neboť správně jde o„ návrh poškozené na uložení povinnosti odsouzené k náhradě nákladů potřebných k účelnému uplatnění nároku poškozené na náhradu škody“ (nebo nemajetkové újmy nebo na vydání bezdůvodného obohacení), jak to je uvedeno v § 155 odst. 4 trestního řádu. Výše uvedená formulační pochybení tak bude nutno v dalším řízení napravit.</w:t>
      </w:r>
    </w:p>
    <w:p w:rsidR="008A5F33" w:rsidRDefault="008A5F33" w:rsidP="008A5F33">
      <w:r w:rsidRPr="008A5F33">
        <w:t xml:space="preserve">10. Jak již zdejší soud předestřel v odstavci 5. odůvodnění tohoto usnesení, okresní soud pochybil i při stanovení výše nákladů poškozené, jakož i v nedostatečném odůvodnění napadeného usnesení. Z dikce § 154 odst. 1 trestního řádu se výslovně podává, že poškozené lze přiznat pouze potřebné a účelné náklady. Z tohoto důvodu se okresní soud musí potřebností a účelností </w:t>
      </w:r>
      <w:r w:rsidRPr="008A5F33">
        <w:lastRenderedPageBreak/>
        <w:t>vždy podrobněji zabývat a tam, kde to uzná za nutné a vhodné, musí přikročit ke snížení takových nákladů, což pak musí řádně odůvodnit. Tomu však okresní soud zcela nedostál.</w:t>
      </w:r>
    </w:p>
    <w:p w:rsidR="008A5F33" w:rsidRDefault="008A5F33" w:rsidP="008A5F33">
      <w:r w:rsidRPr="008A5F33">
        <w:t>11. Náklady poškozené jsou podle jejího návrhu v projednávané věci představovány pouze odměnou jejího zmocněnce. Tuto je pak nutno vypočítat za použití vyhlášky č. 177/1996 Sb., o odměnách advokátů za poskytování právních služeb (dále jen jako„ AT“ nebo jako„ advokátní tarif“). Podle § 10 odst. 5 AT se při zastupování poškozeného v trestním řízení ve věci náhrady újmy, jež byla poškozenému způsobena trestným činem, považuje za tarifní hodnotu částka 10 000 Kč; pokud byla poškozenému přisouzena jako náhrada újmy peněžní částka převyšující 10 000 Kč, považuje se za tarifní hodnotu tato peněžní částka.</w:t>
      </w:r>
    </w:p>
    <w:p w:rsidR="008A5F33" w:rsidRDefault="008A5F33" w:rsidP="008A5F33">
      <w:r w:rsidRPr="008A5F33">
        <w:t>12. Poškozené byla rozsudkem Okresního soudu Plzeň-sever ze dne 18. 5. 2020, č. j. 22 T 10/2020-395 přisouzena na náhradě škody částka ve výši 689 939,56 Kč. Pokud se tato částka aplikuje jako tarifní hodnota, tak odměna za jeden úkon právní služby skutečně činí 11 060 Kč, jak bylo uvedeno v napadeném usnesení. Okresní soud se ale měl s ohledem na tuto výši odměny v rámci posouzení potřebnosti a účelnosti nákladů poškozené zabývat i tím, zda v posuzované věci nepřichází v úvahu uplatnit na odměnu zmocněnce za jeden úkon právní služby limit uvedený v § 12a odst. 2 AT. Byť lze z jazykového výkladu předmětného ustanovení dovodit, že jej lze uplatnit pouze ve vztahu k ustanovenému zmocněnci, přičemž zmocněnec poškozené byl v této věci poškozenou zvolen (na plnou moc), tak judikatura Ústavního soudu ČR (viz například usnesení Ústavního soudu ČR ze dne 29. 5. 2018, sp. zn. IV. ÚS 3103/17, usnesení Ústavního soudu ČR ze dne 2. 4. 2019, sp. zn. III. ÚS 1404/18, usnesení Ústavního soudu ČR ze dne 17. 12. 2019, sp. zn. I. ÚS 3780/19 nebo usnesení Ústavního soudu ČR ze dne 20. 10. 2020, sp. zn. I. ÚS 2703/20) dovodila, že horní limit odměny za jeden úkon právní služby uvedený v § 12a odst. 2 AT lze v odůvodněných případech aplikovat i na odměnu zvolených zmocněnců za jeden úkon právní služby. Na posouzení celé věci z tohoto úhlu pohledu však okresní soud v napadeném usnesení zcela rezignoval. Dostatečně se pak nezabýval ani účelností jednotlivých úkonů, tedy například, zda bylo skutečně účelné, aby byl zmocněnec přítomen při podpisu protokolu o výpovědi poškozené v přípravném řízení.</w:t>
      </w:r>
    </w:p>
    <w:p w:rsidR="008A5F33" w:rsidRDefault="008A5F33" w:rsidP="008A5F33">
      <w:r w:rsidRPr="008A5F33">
        <w:t>13. Na základě výše uvedeného proto dospěl zdejší soud k závěru, že napadené usnesení nemůže z důvodu vadné formulace jeho výrokové části, z důvodu nesprávně stanovené výše nákladů poškozené potřebných k účelnému uplatnění nároku na náhradu škody, jakož i z důvodu nedostatečného odůvodnění, obstát. Proto jej podle § 149 odst. 1 písm. b) trestního řádu zrušil a okresnímu soudu uložil, aby o věci znovu jednal a rozhodl. Rozsah jeho pochybení je totiž natolik velký, že ho nelze zhojit ve stížnostním řízení. Není pak úkolem stížnostního soudu, aby v takovém rozsahu suploval činnost soudu prvního stupně, když je to právě tento soud, který se musí návrhem poškozené dostatečně a úplně zabývat, což v projednávané věci neučinil.</w:t>
      </w:r>
    </w:p>
    <w:p w:rsidR="008A5F33" w:rsidRDefault="008A5F33" w:rsidP="008A5F33">
      <w:r w:rsidRPr="008A5F33">
        <w:t>14. V dalším řízení se proto okresní soud bude dostatečně zabývat potřebností a účelností jednotlivých úkonů právní služby, které zmocněnec poškozené provedl. V tomto ohledu se zaměří i na to, zda není v projednávané věci možné na podkladě shora uvedené judikatury Ústavního soudu ČR aplikovat horní limit pro odměnu zmocněnce za jeden úkon právní služby uvedený v § 12a odst. 2 AT. V úvahu pak vezme i námitku odsouzené, že náklady poškozené (včetně nákladů zmocněnce) měly již být likvidovány pojišťovnou Generali Česká pojišťovna, a. s. V této souvislosti si vyžádá nejen stanovisko poškozené, ale i předmětné pojišťovny. Zváží i obstarání dalších listin, pokud to uzná za vhodné. Následně ve věci znovu rozhodne. Při formulaci výroků se bude striktně držet znění zákonných ustanovení, podle kterých bude rozhodovat. Na tyto ve výroku svého rozhodnutí samozřejmě i řádně odkáže. V novém rozhodnutí pak uvede správné datum narození odsouzené. Neopomene ani další rozhodnutí ve smyslu § 134 odst. 2 trestního řádu přesvědčivě a úplně odůvodnit.</w:t>
      </w:r>
    </w:p>
    <w:p w:rsidR="00F11093" w:rsidRPr="008A5F33" w:rsidRDefault="008A5F33" w:rsidP="00D821FE">
      <w:r w:rsidRPr="008A5F33">
        <w:lastRenderedPageBreak/>
        <w:t>15. 15. V neposlední řadě je nutno připomenout, že okresní soud je v dalším řízení podle § 150 odst. 1, odst. 3 trestního řádu vázán zákazem reformationis in peius, neboť proti napadenému usnesení podala stížnost pouze odsouzená.</w:t>
      </w:r>
    </w:p>
    <w:p w:rsidR="008A0B5D" w:rsidRDefault="008A0B5D" w:rsidP="008A0B5D">
      <w:pPr>
        <w:pStyle w:val="Nadpisstirozsudku"/>
      </w:pPr>
      <w:r>
        <w:t>Poučení:</w:t>
      </w:r>
    </w:p>
    <w:p w:rsidR="006B14EC" w:rsidRPr="008A5F33" w:rsidRDefault="008A5F33" w:rsidP="008A5F33">
      <w:r w:rsidRPr="008A5F33">
        <w:t>Proti tomuto rozhodnutí není přípustný další řádný opravný prostředek.</w:t>
      </w:r>
    </w:p>
    <w:p w:rsidR="006B14EC" w:rsidRPr="001F0625" w:rsidRDefault="008A5F33" w:rsidP="006B14EC">
      <w:pPr>
        <w:keepNext/>
        <w:spacing w:before="960"/>
        <w:rPr>
          <w:szCs w:val="22"/>
        </w:rPr>
      </w:pPr>
      <w:r>
        <w:rPr>
          <w:szCs w:val="22"/>
        </w:rPr>
        <w:t>Plzeň</w:t>
      </w:r>
      <w:r w:rsidR="006B14EC" w:rsidRPr="001F0625">
        <w:rPr>
          <w:szCs w:val="22"/>
        </w:rPr>
        <w:t xml:space="preserve"> </w:t>
      </w:r>
      <w:r>
        <w:t>8. září 2021</w:t>
      </w:r>
    </w:p>
    <w:p w:rsidR="006B69A5" w:rsidRDefault="008A5F33" w:rsidP="00845CC2">
      <w:pPr>
        <w:keepNext/>
        <w:spacing w:before="480"/>
        <w:jc w:val="left"/>
      </w:pPr>
      <w:r>
        <w:t>JUDr. Pavel Fait</w:t>
      </w:r>
      <w:r w:rsidR="00D821FE">
        <w:t xml:space="preserve"> v. r.</w:t>
      </w:r>
      <w:r w:rsidR="006B14EC">
        <w:br/>
      </w:r>
      <w:r>
        <w:t>předseda senátu</w:t>
      </w:r>
    </w:p>
    <w:sectPr w:rsidR="006B69A5" w:rsidSect="00B83118">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F3033" w:rsidRDefault="00EF3033" w:rsidP="00B83118">
      <w:pPr>
        <w:spacing w:after="0"/>
      </w:pPr>
      <w:r>
        <w:separator/>
      </w:r>
    </w:p>
  </w:endnote>
  <w:endnote w:type="continuationSeparator" w:id="0">
    <w:p w:rsidR="00EF3033" w:rsidRDefault="00EF3033" w:rsidP="00B8311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5F33" w:rsidRDefault="008A5F33">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5F33" w:rsidRDefault="008A5F33">
    <w:pPr>
      <w:pStyle w:val="Zpa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5F33" w:rsidRDefault="008A5F33">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F3033" w:rsidRDefault="00EF3033" w:rsidP="00B83118">
      <w:pPr>
        <w:spacing w:after="0"/>
      </w:pPr>
      <w:r>
        <w:separator/>
      </w:r>
    </w:p>
  </w:footnote>
  <w:footnote w:type="continuationSeparator" w:id="0">
    <w:p w:rsidR="00EF3033" w:rsidRDefault="00EF3033" w:rsidP="00B8311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5F33" w:rsidRDefault="008A5F33">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3118" w:rsidRDefault="00B83118">
    <w:pPr>
      <w:pStyle w:val="Zhlav"/>
    </w:pPr>
    <w:r>
      <w:tab/>
    </w:r>
    <w:r>
      <w:fldChar w:fldCharType="begin"/>
    </w:r>
    <w:r>
      <w:instrText>PAGE   \* MERGEFORMAT</w:instrText>
    </w:r>
    <w:r>
      <w:fldChar w:fldCharType="separate"/>
    </w:r>
    <w:r w:rsidR="00F94513">
      <w:rPr>
        <w:noProof/>
      </w:rPr>
      <w:t>2</w:t>
    </w:r>
    <w:r>
      <w:fldChar w:fldCharType="end"/>
    </w:r>
    <w:r>
      <w:tab/>
    </w:r>
    <w:r w:rsidR="008A5F33">
      <w:t>6 To 216/2021</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3118" w:rsidRDefault="00B83118" w:rsidP="00B83118">
    <w:pPr>
      <w:pStyle w:val="Zhlav"/>
      <w:jc w:val="right"/>
    </w:pPr>
    <w:r>
      <w:t xml:space="preserve">Číslo jednací: </w:t>
    </w:r>
    <w:r w:rsidR="008A5F33">
      <w:t>6 To 216/2021 - 487</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D90936"/>
    <w:multiLevelType w:val="hybridMultilevel"/>
    <w:tmpl w:val="05086292"/>
    <w:lvl w:ilvl="0" w:tplc="B2C4BB7A">
      <w:start w:val="1"/>
      <w:numFmt w:val="upperRoman"/>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3ACF57E2"/>
    <w:multiLevelType w:val="hybridMultilevel"/>
    <w:tmpl w:val="646AA7D0"/>
    <w:lvl w:ilvl="0" w:tplc="04050013">
      <w:start w:val="1"/>
      <w:numFmt w:val="upperRoman"/>
      <w:lvlText w:val="%1."/>
      <w:lvlJc w:val="right"/>
      <w:pPr>
        <w:ind w:left="1068" w:hanging="360"/>
      </w:p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2" w15:restartNumberingAfterBreak="0">
    <w:nsid w:val="41B92906"/>
    <w:multiLevelType w:val="hybridMultilevel"/>
    <w:tmpl w:val="68E81B32"/>
    <w:lvl w:ilvl="0" w:tplc="04050013">
      <w:start w:val="1"/>
      <w:numFmt w:val="upperRoman"/>
      <w:lvlText w:val="%1."/>
      <w:lvlJc w:val="right"/>
      <w:pPr>
        <w:ind w:left="1565" w:hanging="360"/>
      </w:pPr>
      <w:rPr>
        <w:rFonts w:hint="default"/>
      </w:rPr>
    </w:lvl>
    <w:lvl w:ilvl="1" w:tplc="04050019" w:tentative="1">
      <w:start w:val="1"/>
      <w:numFmt w:val="lowerLetter"/>
      <w:lvlText w:val="%2."/>
      <w:lvlJc w:val="left"/>
      <w:pPr>
        <w:ind w:left="2285" w:hanging="360"/>
      </w:pPr>
    </w:lvl>
    <w:lvl w:ilvl="2" w:tplc="0405001B" w:tentative="1">
      <w:start w:val="1"/>
      <w:numFmt w:val="lowerRoman"/>
      <w:lvlText w:val="%3."/>
      <w:lvlJc w:val="right"/>
      <w:pPr>
        <w:ind w:left="3005" w:hanging="180"/>
      </w:pPr>
    </w:lvl>
    <w:lvl w:ilvl="3" w:tplc="0405000F" w:tentative="1">
      <w:start w:val="1"/>
      <w:numFmt w:val="decimal"/>
      <w:lvlText w:val="%4."/>
      <w:lvlJc w:val="left"/>
      <w:pPr>
        <w:ind w:left="3725" w:hanging="360"/>
      </w:pPr>
    </w:lvl>
    <w:lvl w:ilvl="4" w:tplc="04050019" w:tentative="1">
      <w:start w:val="1"/>
      <w:numFmt w:val="lowerLetter"/>
      <w:lvlText w:val="%5."/>
      <w:lvlJc w:val="left"/>
      <w:pPr>
        <w:ind w:left="4445" w:hanging="360"/>
      </w:pPr>
    </w:lvl>
    <w:lvl w:ilvl="5" w:tplc="0405001B" w:tentative="1">
      <w:start w:val="1"/>
      <w:numFmt w:val="lowerRoman"/>
      <w:lvlText w:val="%6."/>
      <w:lvlJc w:val="right"/>
      <w:pPr>
        <w:ind w:left="5165" w:hanging="180"/>
      </w:pPr>
    </w:lvl>
    <w:lvl w:ilvl="6" w:tplc="0405000F" w:tentative="1">
      <w:start w:val="1"/>
      <w:numFmt w:val="decimal"/>
      <w:lvlText w:val="%7."/>
      <w:lvlJc w:val="left"/>
      <w:pPr>
        <w:ind w:left="5885" w:hanging="360"/>
      </w:pPr>
    </w:lvl>
    <w:lvl w:ilvl="7" w:tplc="04050019" w:tentative="1">
      <w:start w:val="1"/>
      <w:numFmt w:val="lowerLetter"/>
      <w:lvlText w:val="%8."/>
      <w:lvlJc w:val="left"/>
      <w:pPr>
        <w:ind w:left="6605" w:hanging="360"/>
      </w:pPr>
    </w:lvl>
    <w:lvl w:ilvl="8" w:tplc="0405001B" w:tentative="1">
      <w:start w:val="1"/>
      <w:numFmt w:val="lowerRoman"/>
      <w:lvlText w:val="%9."/>
      <w:lvlJc w:val="right"/>
      <w:pPr>
        <w:ind w:left="7325" w:hanging="180"/>
      </w:pPr>
    </w:lvl>
  </w:abstractNum>
  <w:abstractNum w:abstractNumId="3" w15:restartNumberingAfterBreak="0">
    <w:nsid w:val="5F963F85"/>
    <w:multiLevelType w:val="hybridMultilevel"/>
    <w:tmpl w:val="921A52D6"/>
    <w:lvl w:ilvl="0" w:tplc="73DEB00E">
      <w:start w:val="1"/>
      <w:numFmt w:val="upperRoman"/>
      <w:pStyle w:val="slovanvrok"/>
      <w:lvlText w:val="%1."/>
      <w:lvlJc w:val="righ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Vzor" w:val="AA02"/>
  </w:docVars>
  <w:rsids>
    <w:rsidRoot w:val="004203B8"/>
    <w:rsid w:val="00000E54"/>
    <w:rsid w:val="00012E95"/>
    <w:rsid w:val="000719D4"/>
    <w:rsid w:val="00073A74"/>
    <w:rsid w:val="000A01FA"/>
    <w:rsid w:val="000A2B05"/>
    <w:rsid w:val="000B1A50"/>
    <w:rsid w:val="000C0180"/>
    <w:rsid w:val="000E00A2"/>
    <w:rsid w:val="000F4402"/>
    <w:rsid w:val="001164A3"/>
    <w:rsid w:val="001421E8"/>
    <w:rsid w:val="001514AB"/>
    <w:rsid w:val="001669E1"/>
    <w:rsid w:val="00170070"/>
    <w:rsid w:val="00174606"/>
    <w:rsid w:val="00174B60"/>
    <w:rsid w:val="00176782"/>
    <w:rsid w:val="00176E37"/>
    <w:rsid w:val="001975C8"/>
    <w:rsid w:val="001B681D"/>
    <w:rsid w:val="001C30B5"/>
    <w:rsid w:val="001E580C"/>
    <w:rsid w:val="001F35BB"/>
    <w:rsid w:val="001F7B07"/>
    <w:rsid w:val="002013C4"/>
    <w:rsid w:val="002056A2"/>
    <w:rsid w:val="002216DA"/>
    <w:rsid w:val="00225561"/>
    <w:rsid w:val="00233126"/>
    <w:rsid w:val="00234D4F"/>
    <w:rsid w:val="002A77C1"/>
    <w:rsid w:val="002C5F24"/>
    <w:rsid w:val="002D0AD5"/>
    <w:rsid w:val="002F1CEE"/>
    <w:rsid w:val="003111C2"/>
    <w:rsid w:val="00313787"/>
    <w:rsid w:val="00331A03"/>
    <w:rsid w:val="00331E8A"/>
    <w:rsid w:val="00361853"/>
    <w:rsid w:val="00383BA9"/>
    <w:rsid w:val="003926CC"/>
    <w:rsid w:val="00393D12"/>
    <w:rsid w:val="003A37C4"/>
    <w:rsid w:val="003B38B9"/>
    <w:rsid w:val="003B7B1C"/>
    <w:rsid w:val="003C659A"/>
    <w:rsid w:val="003D0A5B"/>
    <w:rsid w:val="00417F11"/>
    <w:rsid w:val="004203B8"/>
    <w:rsid w:val="0042571C"/>
    <w:rsid w:val="00434AE9"/>
    <w:rsid w:val="00436E3D"/>
    <w:rsid w:val="0044684D"/>
    <w:rsid w:val="00446DEA"/>
    <w:rsid w:val="00473211"/>
    <w:rsid w:val="004A1EF9"/>
    <w:rsid w:val="004A5914"/>
    <w:rsid w:val="004A74B8"/>
    <w:rsid w:val="004B0928"/>
    <w:rsid w:val="004C7DF8"/>
    <w:rsid w:val="004F3881"/>
    <w:rsid w:val="00503B27"/>
    <w:rsid w:val="00503DE4"/>
    <w:rsid w:val="00511351"/>
    <w:rsid w:val="005250A5"/>
    <w:rsid w:val="00537B33"/>
    <w:rsid w:val="00540C15"/>
    <w:rsid w:val="00552EF7"/>
    <w:rsid w:val="00567131"/>
    <w:rsid w:val="00567427"/>
    <w:rsid w:val="00572B7F"/>
    <w:rsid w:val="0057488E"/>
    <w:rsid w:val="005A000B"/>
    <w:rsid w:val="005A4DE1"/>
    <w:rsid w:val="005A6E65"/>
    <w:rsid w:val="005D22A9"/>
    <w:rsid w:val="005D24AF"/>
    <w:rsid w:val="005F1575"/>
    <w:rsid w:val="00604F22"/>
    <w:rsid w:val="00613A5A"/>
    <w:rsid w:val="00617ECD"/>
    <w:rsid w:val="00642671"/>
    <w:rsid w:val="006474FE"/>
    <w:rsid w:val="00654C4F"/>
    <w:rsid w:val="006B14EC"/>
    <w:rsid w:val="006B3C27"/>
    <w:rsid w:val="006B3DFB"/>
    <w:rsid w:val="006B69A5"/>
    <w:rsid w:val="006D2084"/>
    <w:rsid w:val="006F0E2E"/>
    <w:rsid w:val="006F60BD"/>
    <w:rsid w:val="007501FE"/>
    <w:rsid w:val="007516B8"/>
    <w:rsid w:val="00771553"/>
    <w:rsid w:val="007B487E"/>
    <w:rsid w:val="007C71EA"/>
    <w:rsid w:val="007C7CA8"/>
    <w:rsid w:val="007E39CF"/>
    <w:rsid w:val="007F11B7"/>
    <w:rsid w:val="00807782"/>
    <w:rsid w:val="00845CC2"/>
    <w:rsid w:val="008527CE"/>
    <w:rsid w:val="0085450F"/>
    <w:rsid w:val="00856A9C"/>
    <w:rsid w:val="00860D5B"/>
    <w:rsid w:val="008703F5"/>
    <w:rsid w:val="008A029B"/>
    <w:rsid w:val="008A0B5D"/>
    <w:rsid w:val="008A5F33"/>
    <w:rsid w:val="008B5559"/>
    <w:rsid w:val="008D252B"/>
    <w:rsid w:val="008E0E38"/>
    <w:rsid w:val="008F75B7"/>
    <w:rsid w:val="009163EB"/>
    <w:rsid w:val="0092758B"/>
    <w:rsid w:val="00933274"/>
    <w:rsid w:val="00941B3B"/>
    <w:rsid w:val="00942E4D"/>
    <w:rsid w:val="0094685E"/>
    <w:rsid w:val="00970E18"/>
    <w:rsid w:val="009859E1"/>
    <w:rsid w:val="00993AC7"/>
    <w:rsid w:val="00A26B11"/>
    <w:rsid w:val="00A26CB2"/>
    <w:rsid w:val="00A456BC"/>
    <w:rsid w:val="00A479E4"/>
    <w:rsid w:val="00A7495D"/>
    <w:rsid w:val="00AC2E5F"/>
    <w:rsid w:val="00AC5CE3"/>
    <w:rsid w:val="00B0321B"/>
    <w:rsid w:val="00B27796"/>
    <w:rsid w:val="00B5161D"/>
    <w:rsid w:val="00B83118"/>
    <w:rsid w:val="00BD3335"/>
    <w:rsid w:val="00BD41F9"/>
    <w:rsid w:val="00BE05C2"/>
    <w:rsid w:val="00BE1B45"/>
    <w:rsid w:val="00BE3229"/>
    <w:rsid w:val="00BF04A3"/>
    <w:rsid w:val="00C1541A"/>
    <w:rsid w:val="00C45CC2"/>
    <w:rsid w:val="00C52C00"/>
    <w:rsid w:val="00C70353"/>
    <w:rsid w:val="00C721C5"/>
    <w:rsid w:val="00C7783E"/>
    <w:rsid w:val="00C941D1"/>
    <w:rsid w:val="00CA0B0E"/>
    <w:rsid w:val="00CA3A12"/>
    <w:rsid w:val="00CB30BB"/>
    <w:rsid w:val="00CB4027"/>
    <w:rsid w:val="00CC4728"/>
    <w:rsid w:val="00CD3600"/>
    <w:rsid w:val="00CE2E3A"/>
    <w:rsid w:val="00CE7753"/>
    <w:rsid w:val="00D021FC"/>
    <w:rsid w:val="00D2392F"/>
    <w:rsid w:val="00D414F7"/>
    <w:rsid w:val="00D80197"/>
    <w:rsid w:val="00D8162D"/>
    <w:rsid w:val="00D821FE"/>
    <w:rsid w:val="00DB4AFB"/>
    <w:rsid w:val="00DC11DB"/>
    <w:rsid w:val="00DD6756"/>
    <w:rsid w:val="00E028FD"/>
    <w:rsid w:val="00E102AB"/>
    <w:rsid w:val="00E1676B"/>
    <w:rsid w:val="00E25261"/>
    <w:rsid w:val="00E25ADF"/>
    <w:rsid w:val="00E40A50"/>
    <w:rsid w:val="00E44642"/>
    <w:rsid w:val="00E50664"/>
    <w:rsid w:val="00E77DA8"/>
    <w:rsid w:val="00EA5167"/>
    <w:rsid w:val="00EE024F"/>
    <w:rsid w:val="00EF3033"/>
    <w:rsid w:val="00EF3778"/>
    <w:rsid w:val="00F024FB"/>
    <w:rsid w:val="00F11093"/>
    <w:rsid w:val="00F240E4"/>
    <w:rsid w:val="00F308CF"/>
    <w:rsid w:val="00F320D0"/>
    <w:rsid w:val="00F3617B"/>
    <w:rsid w:val="00F52F99"/>
    <w:rsid w:val="00F54A66"/>
    <w:rsid w:val="00F66B0F"/>
    <w:rsid w:val="00F72C47"/>
    <w:rsid w:val="00F758AA"/>
    <w:rsid w:val="00F914FF"/>
    <w:rsid w:val="00F9277E"/>
    <w:rsid w:val="00F94513"/>
    <w:rsid w:val="00F96142"/>
    <w:rsid w:val="00FC5371"/>
    <w:rsid w:val="00FC58D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0494C1F-F5FB-4794-98CE-8AB2C3C6AB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cs-CZ" w:eastAsia="cs-CZ"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F72C47"/>
    <w:pPr>
      <w:autoSpaceDE w:val="0"/>
      <w:autoSpaceDN w:val="0"/>
      <w:adjustRightInd w:val="0"/>
      <w:spacing w:after="120"/>
      <w:jc w:val="both"/>
    </w:pPr>
    <w:rPr>
      <w:rFonts w:ascii="Garamond" w:eastAsia="Times New Roman" w:hAnsi="Garamond" w:cs="Calibri"/>
      <w:sz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Textrozsudku">
    <w:name w:val="Text rozsudku"/>
    <w:basedOn w:val="Normln"/>
    <w:qFormat/>
    <w:rsid w:val="00E50664"/>
    <w:pPr>
      <w:ind w:firstLine="708"/>
      <w:textAlignment w:val="baseline"/>
    </w:pPr>
    <w:rPr>
      <w:szCs w:val="22"/>
    </w:rPr>
  </w:style>
  <w:style w:type="character" w:styleId="Odkaznakoment">
    <w:name w:val="annotation reference"/>
    <w:uiPriority w:val="99"/>
    <w:semiHidden/>
    <w:unhideWhenUsed/>
    <w:rsid w:val="00B0321B"/>
    <w:rPr>
      <w:sz w:val="16"/>
      <w:szCs w:val="16"/>
    </w:rPr>
  </w:style>
  <w:style w:type="paragraph" w:styleId="Textkomente">
    <w:name w:val="annotation text"/>
    <w:basedOn w:val="Normln"/>
    <w:link w:val="TextkomenteChar"/>
    <w:uiPriority w:val="99"/>
    <w:semiHidden/>
    <w:unhideWhenUsed/>
    <w:rsid w:val="00B0321B"/>
    <w:rPr>
      <w:rFonts w:ascii="Times New Roman" w:hAnsi="Times New Roman" w:cs="Times New Roman"/>
      <w:sz w:val="20"/>
    </w:rPr>
  </w:style>
  <w:style w:type="character" w:customStyle="1" w:styleId="TextkomenteChar">
    <w:name w:val="Text komentáře Char"/>
    <w:link w:val="Textkomente"/>
    <w:uiPriority w:val="99"/>
    <w:semiHidden/>
    <w:rsid w:val="00B0321B"/>
    <w:rPr>
      <w:rFonts w:ascii="Times New Roman" w:eastAsia="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unhideWhenUsed/>
    <w:rsid w:val="00B0321B"/>
    <w:rPr>
      <w:b/>
      <w:bCs/>
    </w:rPr>
  </w:style>
  <w:style w:type="character" w:customStyle="1" w:styleId="PedmtkomenteChar">
    <w:name w:val="Předmět komentáře Char"/>
    <w:link w:val="Pedmtkomente"/>
    <w:uiPriority w:val="99"/>
    <w:semiHidden/>
    <w:rsid w:val="00B0321B"/>
    <w:rPr>
      <w:rFonts w:ascii="Times New Roman" w:eastAsia="Times New Roman" w:hAnsi="Times New Roman" w:cs="Times New Roman"/>
      <w:b/>
      <w:bCs/>
      <w:sz w:val="20"/>
      <w:szCs w:val="20"/>
      <w:lang w:eastAsia="cs-CZ"/>
    </w:rPr>
  </w:style>
  <w:style w:type="paragraph" w:styleId="Textbubliny">
    <w:name w:val="Balloon Text"/>
    <w:basedOn w:val="Normln"/>
    <w:link w:val="TextbublinyChar"/>
    <w:uiPriority w:val="99"/>
    <w:semiHidden/>
    <w:unhideWhenUsed/>
    <w:rsid w:val="00B0321B"/>
    <w:rPr>
      <w:rFonts w:ascii="Tahoma" w:hAnsi="Tahoma" w:cs="Times New Roman"/>
      <w:sz w:val="16"/>
      <w:szCs w:val="16"/>
    </w:rPr>
  </w:style>
  <w:style w:type="character" w:customStyle="1" w:styleId="TextbublinyChar">
    <w:name w:val="Text bubliny Char"/>
    <w:link w:val="Textbubliny"/>
    <w:uiPriority w:val="99"/>
    <w:semiHidden/>
    <w:rsid w:val="00B0321B"/>
    <w:rPr>
      <w:rFonts w:ascii="Tahoma" w:eastAsia="Times New Roman" w:hAnsi="Tahoma" w:cs="Tahoma"/>
      <w:sz w:val="16"/>
      <w:szCs w:val="16"/>
      <w:lang w:eastAsia="cs-CZ"/>
    </w:rPr>
  </w:style>
  <w:style w:type="paragraph" w:styleId="Odstavecseseznamem">
    <w:name w:val="List Paragraph"/>
    <w:basedOn w:val="Normln"/>
    <w:link w:val="OdstavecseseznamemChar"/>
    <w:uiPriority w:val="34"/>
    <w:qFormat/>
    <w:rsid w:val="004203B8"/>
    <w:pPr>
      <w:ind w:left="720"/>
      <w:contextualSpacing/>
    </w:pPr>
  </w:style>
  <w:style w:type="paragraph" w:customStyle="1" w:styleId="Nadpisstirozsudku">
    <w:name w:val="Nadpis části rozsudku"/>
    <w:basedOn w:val="Normln"/>
    <w:link w:val="NadpisstirozsudkuChar"/>
    <w:qFormat/>
    <w:rsid w:val="008A0B5D"/>
    <w:pPr>
      <w:spacing w:before="240"/>
      <w:jc w:val="center"/>
    </w:pPr>
    <w:rPr>
      <w:b/>
    </w:rPr>
  </w:style>
  <w:style w:type="character" w:customStyle="1" w:styleId="NadpisstirozsudkuChar">
    <w:name w:val="Nadpis části rozsudku Char"/>
    <w:basedOn w:val="Standardnpsmoodstavce"/>
    <w:link w:val="Nadpisstirozsudku"/>
    <w:rsid w:val="008A0B5D"/>
    <w:rPr>
      <w:rFonts w:ascii="Garamond" w:eastAsia="Times New Roman" w:hAnsi="Garamond" w:cs="Calibri"/>
      <w:b/>
      <w:sz w:val="24"/>
    </w:rPr>
  </w:style>
  <w:style w:type="paragraph" w:customStyle="1" w:styleId="slovanvrok">
    <w:name w:val="Číslovaný výrok"/>
    <w:basedOn w:val="Odstavecseseznamem"/>
    <w:link w:val="slovanvrokChar"/>
    <w:qFormat/>
    <w:rsid w:val="00941B3B"/>
    <w:pPr>
      <w:numPr>
        <w:numId w:val="4"/>
      </w:numPr>
      <w:ind w:left="568" w:hanging="284"/>
      <w:contextualSpacing w:val="0"/>
    </w:pPr>
  </w:style>
  <w:style w:type="character" w:customStyle="1" w:styleId="OdstavecseseznamemChar">
    <w:name w:val="Odstavec se seznamem Char"/>
    <w:basedOn w:val="Standardnpsmoodstavce"/>
    <w:link w:val="Odstavecseseznamem"/>
    <w:uiPriority w:val="34"/>
    <w:rsid w:val="004F3881"/>
    <w:rPr>
      <w:rFonts w:ascii="Garamond" w:eastAsia="Times New Roman" w:hAnsi="Garamond" w:cs="Calibri"/>
      <w:sz w:val="24"/>
    </w:rPr>
  </w:style>
  <w:style w:type="character" w:customStyle="1" w:styleId="slovanvrokChar">
    <w:name w:val="Číslovaný výrok Char"/>
    <w:basedOn w:val="OdstavecseseznamemChar"/>
    <w:link w:val="slovanvrok"/>
    <w:rsid w:val="00941B3B"/>
    <w:rPr>
      <w:rFonts w:ascii="Garamond" w:eastAsia="Times New Roman" w:hAnsi="Garamond" w:cs="Calibri"/>
      <w:sz w:val="24"/>
    </w:rPr>
  </w:style>
  <w:style w:type="paragraph" w:customStyle="1" w:styleId="Neslovanvrok">
    <w:name w:val="Nečíslovaný výrok"/>
    <w:basedOn w:val="slovanvrok"/>
    <w:link w:val="NeslovanvrokChar"/>
    <w:qFormat/>
    <w:rsid w:val="00941B3B"/>
    <w:pPr>
      <w:numPr>
        <w:numId w:val="0"/>
      </w:numPr>
      <w:ind w:left="567"/>
    </w:pPr>
  </w:style>
  <w:style w:type="character" w:customStyle="1" w:styleId="NeslovanvrokChar">
    <w:name w:val="Nečíslovaný výrok Char"/>
    <w:basedOn w:val="slovanvrokChar"/>
    <w:link w:val="Neslovanvrok"/>
    <w:rsid w:val="00941B3B"/>
    <w:rPr>
      <w:rFonts w:ascii="Garamond" w:eastAsia="Times New Roman" w:hAnsi="Garamond" w:cs="Calibri"/>
      <w:sz w:val="24"/>
    </w:rPr>
  </w:style>
  <w:style w:type="paragraph" w:customStyle="1" w:styleId="Odstaveczhlav">
    <w:name w:val="Odstavec záhlaví"/>
    <w:basedOn w:val="Neslovanvrok"/>
    <w:link w:val="OdstaveczhlavChar"/>
    <w:qFormat/>
    <w:rsid w:val="000E00A2"/>
    <w:pPr>
      <w:tabs>
        <w:tab w:val="left" w:pos="1985"/>
      </w:tabs>
      <w:spacing w:before="120" w:after="0"/>
      <w:ind w:left="1985" w:hanging="1985"/>
    </w:pPr>
  </w:style>
  <w:style w:type="character" w:customStyle="1" w:styleId="OdstaveczhlavChar">
    <w:name w:val="Odstavec záhlaví Char"/>
    <w:basedOn w:val="NeslovanvrokChar"/>
    <w:link w:val="Odstaveczhlav"/>
    <w:rsid w:val="000E00A2"/>
    <w:rPr>
      <w:rFonts w:ascii="Garamond" w:eastAsia="Times New Roman" w:hAnsi="Garamond" w:cs="Calibri"/>
      <w:sz w:val="24"/>
    </w:rPr>
  </w:style>
  <w:style w:type="paragraph" w:styleId="Zhlav">
    <w:name w:val="header"/>
    <w:basedOn w:val="Normln"/>
    <w:link w:val="ZhlavChar"/>
    <w:uiPriority w:val="99"/>
    <w:unhideWhenUsed/>
    <w:rsid w:val="00B83118"/>
    <w:pPr>
      <w:tabs>
        <w:tab w:val="center" w:pos="4536"/>
        <w:tab w:val="right" w:pos="9072"/>
      </w:tabs>
      <w:spacing w:after="0"/>
    </w:pPr>
  </w:style>
  <w:style w:type="character" w:customStyle="1" w:styleId="ZhlavChar">
    <w:name w:val="Záhlaví Char"/>
    <w:basedOn w:val="Standardnpsmoodstavce"/>
    <w:link w:val="Zhlav"/>
    <w:uiPriority w:val="99"/>
    <w:rsid w:val="00B83118"/>
    <w:rPr>
      <w:rFonts w:ascii="Garamond" w:eastAsia="Times New Roman" w:hAnsi="Garamond" w:cs="Calibri"/>
      <w:sz w:val="24"/>
    </w:rPr>
  </w:style>
  <w:style w:type="paragraph" w:styleId="Zpat">
    <w:name w:val="footer"/>
    <w:basedOn w:val="Normln"/>
    <w:link w:val="ZpatChar"/>
    <w:uiPriority w:val="99"/>
    <w:unhideWhenUsed/>
    <w:rsid w:val="00B83118"/>
    <w:pPr>
      <w:tabs>
        <w:tab w:val="center" w:pos="4536"/>
        <w:tab w:val="right" w:pos="9072"/>
      </w:tabs>
      <w:spacing w:after="0"/>
    </w:pPr>
  </w:style>
  <w:style w:type="character" w:customStyle="1" w:styleId="ZpatChar">
    <w:name w:val="Zápatí Char"/>
    <w:basedOn w:val="Standardnpsmoodstavce"/>
    <w:link w:val="Zpat"/>
    <w:uiPriority w:val="99"/>
    <w:rsid w:val="00B83118"/>
    <w:rPr>
      <w:rFonts w:ascii="Garamond" w:eastAsia="Times New Roman" w:hAnsi="Garamond" w:cs="Calibri"/>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57503">
      <w:bodyDiv w:val="1"/>
      <w:marLeft w:val="0"/>
      <w:marRight w:val="0"/>
      <w:marTop w:val="0"/>
      <w:marBottom w:val="0"/>
      <w:divBdr>
        <w:top w:val="none" w:sz="0" w:space="0" w:color="auto"/>
        <w:left w:val="none" w:sz="0" w:space="0" w:color="auto"/>
        <w:bottom w:val="none" w:sz="0" w:space="0" w:color="auto"/>
        <w:right w:val="none" w:sz="0" w:space="0" w:color="auto"/>
      </w:divBdr>
    </w:div>
    <w:div w:id="1524711226">
      <w:bodyDiv w:val="1"/>
      <w:marLeft w:val="0"/>
      <w:marRight w:val="0"/>
      <w:marTop w:val="0"/>
      <w:marBottom w:val="0"/>
      <w:divBdr>
        <w:top w:val="none" w:sz="0" w:space="0" w:color="auto"/>
        <w:left w:val="none" w:sz="0" w:space="0" w:color="auto"/>
        <w:bottom w:val="none" w:sz="0" w:space="0" w:color="auto"/>
        <w:right w:val="none" w:sz="0" w:space="0" w:color="auto"/>
      </w:divBdr>
    </w:div>
    <w:div w:id="158919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1672</Words>
  <Characters>9869</Characters>
  <Application>Microsoft Office Word</Application>
  <DocSecurity>0</DocSecurity>
  <Lines>82</Lines>
  <Paragraphs>23</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11518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Kuchařová Marcela</dc:creator>
  <cp:lastModifiedBy>Kuchařová Marcela</cp:lastModifiedBy>
  <cp:revision>2</cp:revision>
  <cp:lastPrinted>2018-07-30T21:25:00Z</cp:lastPrinted>
  <dcterms:created xsi:type="dcterms:W3CDTF">2022-10-26T06:44:00Z</dcterms:created>
  <dcterms:modified xsi:type="dcterms:W3CDTF">2022-10-26T06:44:00Z</dcterms:modified>
</cp:coreProperties>
</file>